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bidi w:val="0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pacing w:val="0"/>
          <w:w w:val="1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100"/>
          <w:sz w:val="40"/>
          <w:szCs w:val="40"/>
          <w:lang w:val="en-US" w:eastAsia="zh-CN"/>
        </w:rPr>
        <w:t>重点联系企业登记表</w:t>
      </w:r>
    </w:p>
    <w:tbl>
      <w:tblPr>
        <w:tblStyle w:val="6"/>
        <w:tblW w:w="92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5"/>
        <w:gridCol w:w="1468"/>
        <w:gridCol w:w="1468"/>
        <w:gridCol w:w="1468"/>
        <w:gridCol w:w="1468"/>
        <w:gridCol w:w="14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440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所在地区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440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纳税人识别号</w:t>
            </w:r>
          </w:p>
        </w:tc>
        <w:tc>
          <w:tcPr>
            <w:tcW w:w="440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企业网址/公众号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企业性质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员工人数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主营业务</w:t>
            </w:r>
          </w:p>
        </w:tc>
        <w:tc>
          <w:tcPr>
            <w:tcW w:w="734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企业人员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部门/职务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办公电话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宣传部门联系人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活动申报联系人</w:t>
            </w: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备  注</w:t>
            </w:r>
          </w:p>
        </w:tc>
        <w:tc>
          <w:tcPr>
            <w:tcW w:w="734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w w:val="100"/>
          <w:sz w:val="24"/>
          <w:szCs w:val="24"/>
        </w:rPr>
        <w:t>注</w:t>
      </w:r>
      <w:r>
        <w:rPr>
          <w:rFonts w:hint="eastAsia" w:ascii="仿宋" w:hAnsi="仿宋" w:eastAsia="仿宋" w:cs="仿宋"/>
          <w:b w:val="0"/>
          <w:bCs w:val="0"/>
          <w:spacing w:val="0"/>
          <w:w w:val="100"/>
          <w:sz w:val="24"/>
          <w:szCs w:val="24"/>
        </w:rPr>
        <w:t>：</w:t>
      </w:r>
      <w:r>
        <w:rPr>
          <w:rFonts w:hint="eastAsia" w:ascii="仿宋" w:hAnsi="仿宋" w:eastAsia="仿宋" w:cs="仿宋"/>
          <w:b w:val="0"/>
          <w:bCs w:val="0"/>
          <w:spacing w:val="0"/>
          <w:w w:val="100"/>
          <w:sz w:val="24"/>
          <w:szCs w:val="24"/>
          <w:lang w:val="en-US" w:eastAsia="zh-CN"/>
        </w:rPr>
        <w:t>请申报联系人将此表（word文本）填好后连同其他材料一并发送</w:t>
      </w:r>
      <w:r>
        <w:rPr>
          <w:rFonts w:hint="default" w:ascii="Times New Roman" w:hAnsi="Times New Roman" w:eastAsia="仿宋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  <w:t>至</w:t>
      </w:r>
      <w:r>
        <w:rPr>
          <w:rFonts w:hint="eastAsia" w:ascii="Times New Roman" w:hAnsi="Times New Roman" w:eastAsia="仿宋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  <w:t>省企联电子邮箱</w:t>
      </w:r>
      <w:r>
        <w:rPr>
          <w:rFonts w:hint="default" w:ascii="Times New Roman" w:hAnsi="Times New Roman" w:eastAsia="仿宋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  <w:t>yanjiubu1980@163.com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pacing w:val="0"/>
          <w:w w:val="1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spacing w:val="0"/>
          <w:w w:val="100"/>
          <w:sz w:val="24"/>
          <w:szCs w:val="24"/>
        </w:rPr>
        <w:sectPr>
          <w:footerReference r:id="rId5" w:type="default"/>
          <w:pgSz w:w="11906" w:h="16838"/>
          <w:pgMar w:top="2098" w:right="1474" w:bottom="1984" w:left="1587" w:header="851" w:footer="1587" w:gutter="0"/>
          <w:pgNumType w:fmt="decimal"/>
          <w:cols w:space="720" w:num="1"/>
          <w:docGrid w:type="lines" w:linePitch="312" w:charSpace="0"/>
        </w:sectPr>
      </w:pPr>
    </w:p>
    <w:p>
      <w:pPr>
        <w:pStyle w:val="11"/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附件2：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default"/>
          <w:sz w:val="40"/>
          <w:szCs w:val="40"/>
          <w:lang w:val="en-US" w:eastAsia="zh-CN"/>
        </w:rPr>
      </w:pPr>
      <w:r>
        <w:rPr>
          <w:rFonts w:hint="default"/>
          <w:b/>
          <w:bCs/>
          <w:sz w:val="40"/>
          <w:szCs w:val="40"/>
          <w:lang w:val="en-US" w:eastAsia="zh-CN"/>
        </w:rPr>
        <w:t>2024</w:t>
      </w:r>
      <w:r>
        <w:rPr>
          <w:rFonts w:hint="default"/>
          <w:sz w:val="40"/>
          <w:szCs w:val="40"/>
          <w:lang w:val="en-US" w:eastAsia="zh-CN"/>
        </w:rPr>
        <w:t>黑龙江竞争力企业</w:t>
      </w:r>
      <w:r>
        <w:rPr>
          <w:rFonts w:hint="eastAsia"/>
          <w:sz w:val="40"/>
          <w:szCs w:val="40"/>
          <w:lang w:val="en-US" w:eastAsia="zh-CN"/>
        </w:rPr>
        <w:t>排序</w:t>
      </w:r>
      <w:r>
        <w:rPr>
          <w:rFonts w:hint="default"/>
          <w:sz w:val="40"/>
          <w:szCs w:val="40"/>
          <w:lang w:val="en-US" w:eastAsia="zh-CN"/>
        </w:rPr>
        <w:t>申报表</w:t>
      </w:r>
    </w:p>
    <w:tbl>
      <w:tblPr>
        <w:tblStyle w:val="6"/>
        <w:tblpPr w:leftFromText="180" w:rightFromText="180" w:vertAnchor="text" w:horzAnchor="page" w:tblpX="1155" w:tblpY="14"/>
        <w:tblOverlap w:val="never"/>
        <w:tblW w:w="540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1498"/>
        <w:gridCol w:w="1502"/>
        <w:gridCol w:w="1503"/>
        <w:gridCol w:w="1490"/>
        <w:gridCol w:w="1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企业全称</w:t>
            </w:r>
          </w:p>
        </w:tc>
        <w:tc>
          <w:tcPr>
            <w:tcW w:w="3873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-11"/>
                <w:sz w:val="24"/>
                <w:szCs w:val="20"/>
                <w:lang w:val="en-US" w:eastAsia="zh-CN"/>
              </w:rPr>
              <w:t>统一社会信用代码</w:t>
            </w:r>
          </w:p>
        </w:tc>
        <w:tc>
          <w:tcPr>
            <w:tcW w:w="153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注册资本</w:t>
            </w:r>
          </w:p>
        </w:tc>
        <w:tc>
          <w:tcPr>
            <w:tcW w:w="157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企业性质</w:t>
            </w:r>
          </w:p>
        </w:tc>
        <w:tc>
          <w:tcPr>
            <w:tcW w:w="153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国有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民营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）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企业网址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或公众号</w:t>
            </w:r>
          </w:p>
        </w:tc>
        <w:tc>
          <w:tcPr>
            <w:tcW w:w="157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所属行业</w:t>
            </w:r>
          </w:p>
        </w:tc>
        <w:tc>
          <w:tcPr>
            <w:tcW w:w="1530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注册地</w:t>
            </w:r>
          </w:p>
        </w:tc>
        <w:tc>
          <w:tcPr>
            <w:tcW w:w="1575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通讯地址</w:t>
            </w:r>
          </w:p>
        </w:tc>
        <w:tc>
          <w:tcPr>
            <w:tcW w:w="2297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邮政编码</w:t>
            </w:r>
          </w:p>
        </w:tc>
        <w:tc>
          <w:tcPr>
            <w:tcW w:w="8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生产的产品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或提供的服务</w:t>
            </w:r>
          </w:p>
        </w:tc>
        <w:tc>
          <w:tcPr>
            <w:tcW w:w="3873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企业人员信息</w:t>
            </w:r>
          </w:p>
        </w:tc>
        <w:tc>
          <w:tcPr>
            <w:tcW w:w="76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姓  名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部门及职务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办公电话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（加区号）</w:t>
            </w:r>
          </w:p>
        </w:tc>
        <w:tc>
          <w:tcPr>
            <w:tcW w:w="7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手机号码</w:t>
            </w:r>
          </w:p>
        </w:tc>
        <w:tc>
          <w:tcPr>
            <w:tcW w:w="8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电子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信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法定代表人</w:t>
            </w:r>
          </w:p>
        </w:tc>
        <w:tc>
          <w:tcPr>
            <w:tcW w:w="76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主要负责人</w:t>
            </w:r>
          </w:p>
        </w:tc>
        <w:tc>
          <w:tcPr>
            <w:tcW w:w="76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联系人</w:t>
            </w:r>
          </w:p>
        </w:tc>
        <w:tc>
          <w:tcPr>
            <w:tcW w:w="76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数据填报人</w:t>
            </w:r>
          </w:p>
        </w:tc>
        <w:tc>
          <w:tcPr>
            <w:tcW w:w="76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一、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国际、国家及行业的标准修订：</w:t>
      </w:r>
    </w:p>
    <w:tbl>
      <w:tblPr>
        <w:tblStyle w:val="5"/>
        <w:tblW w:w="9840" w:type="dxa"/>
        <w:tblInd w:w="-4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0"/>
        <w:gridCol w:w="1088"/>
        <w:gridCol w:w="1088"/>
        <w:gridCol w:w="1088"/>
        <w:gridCol w:w="1088"/>
        <w:gridCol w:w="1088"/>
        <w:gridCol w:w="1088"/>
        <w:gridCol w:w="1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L1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L2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L3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权数系数1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国际标准修订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12分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国家标准修订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9分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黑龙江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标准及行业联盟  6分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权数系数2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主持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N×1.0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参与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主持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N×1.0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参与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主持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N×1.0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参与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项目个数N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项目名称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eastAsia="仿宋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/>
          <w:sz w:val="24"/>
          <w:szCs w:val="24"/>
        </w:rPr>
        <w:t>N为项目数</w:t>
      </w:r>
      <w:r>
        <w:rPr>
          <w:rFonts w:hint="eastAsia" w:ascii="Times New Roman" w:hAnsi="Times New Roman"/>
          <w:sz w:val="24"/>
          <w:szCs w:val="24"/>
        </w:rPr>
        <w:t>，L1、L2、L3项的</w:t>
      </w:r>
      <w:r>
        <w:rPr>
          <w:rFonts w:hint="eastAsia"/>
          <w:sz w:val="24"/>
          <w:szCs w:val="24"/>
        </w:rPr>
        <w:t>二倍权数分封顶，L4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=</w:t>
      </w:r>
      <w:r>
        <w:rPr>
          <w:rFonts w:hint="eastAsia"/>
          <w:sz w:val="24"/>
          <w:szCs w:val="24"/>
        </w:rPr>
        <w:t>L1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/>
          <w:sz w:val="24"/>
          <w:szCs w:val="24"/>
        </w:rPr>
        <w:t>L2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/>
          <w:sz w:val="24"/>
          <w:szCs w:val="24"/>
        </w:rPr>
        <w:t>L3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</w:rPr>
        <w:t>满分为24分</w:t>
      </w:r>
      <w:r>
        <w:rPr>
          <w:rFonts w:hint="eastAsia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二、专利、版权获得：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088"/>
        <w:gridCol w:w="1088"/>
        <w:gridCol w:w="1088"/>
        <w:gridCol w:w="1088"/>
        <w:gridCol w:w="1088"/>
        <w:gridCol w:w="1088"/>
        <w:gridCol w:w="1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L1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L2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L3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权数系数1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发明专利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6分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软件著作、实用新型  3分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外观专利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1分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权数系数2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项目名称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 w:eastAsia="仿宋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N为项目数，L1、L2、L3、L4项的二倍权数分封顶，L4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=</w:t>
      </w:r>
      <w:r>
        <w:rPr>
          <w:rFonts w:hint="eastAsia" w:ascii="Times New Roman" w:hAnsi="Times New Roman"/>
          <w:sz w:val="24"/>
          <w:szCs w:val="24"/>
        </w:rPr>
        <w:t>L1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 w:ascii="Times New Roman" w:hAnsi="Times New Roman"/>
          <w:sz w:val="24"/>
          <w:szCs w:val="24"/>
        </w:rPr>
        <w:t>L2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 w:ascii="Times New Roman" w:hAnsi="Times New Roman"/>
          <w:sz w:val="24"/>
          <w:szCs w:val="24"/>
        </w:rPr>
        <w:t>L3</w:t>
      </w:r>
      <w:r>
        <w:rPr>
          <w:rFonts w:hint="eastAsia" w:ascii="Times New Roman" w:hAnsi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/>
          <w:sz w:val="24"/>
          <w:szCs w:val="24"/>
        </w:rPr>
        <w:t>满分为12分</w:t>
      </w:r>
      <w:r>
        <w:rPr>
          <w:rFonts w:hint="eastAsia" w:ascii="Times New Roman" w:hAnsi="Times New Roman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三、科学技术奖：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11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</w:t>
            </w:r>
          </w:p>
        </w:tc>
        <w:tc>
          <w:tcPr>
            <w:tcW w:w="23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L1</w:t>
            </w:r>
          </w:p>
        </w:tc>
        <w:tc>
          <w:tcPr>
            <w:tcW w:w="23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L2</w:t>
            </w:r>
          </w:p>
        </w:tc>
        <w:tc>
          <w:tcPr>
            <w:tcW w:w="23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L3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权数系数1</w:t>
            </w:r>
          </w:p>
        </w:tc>
        <w:tc>
          <w:tcPr>
            <w:tcW w:w="23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国家级12分</w:t>
            </w:r>
          </w:p>
        </w:tc>
        <w:tc>
          <w:tcPr>
            <w:tcW w:w="23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省级9分</w:t>
            </w:r>
          </w:p>
        </w:tc>
        <w:tc>
          <w:tcPr>
            <w:tcW w:w="23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市级6分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权数系数2</w:t>
            </w: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特等奖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N×2.0</w:t>
            </w: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一等奖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N×1.0</w:t>
            </w: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二等奖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N×0.8</w:t>
            </w: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一等奖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N×1.0</w:t>
            </w: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二等奖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N×0.8</w:t>
            </w: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三等奖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N×0.6</w:t>
            </w: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一等奖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N×1.0</w:t>
            </w: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二等奖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N×0.8</w:t>
            </w: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三等奖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-11"/>
                <w:sz w:val="21"/>
                <w:szCs w:val="16"/>
                <w:lang w:val="en-US" w:eastAsia="zh-CN"/>
              </w:rPr>
              <w:t>N×0.6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项目名称</w:t>
            </w: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3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9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 w:eastAsia="仿宋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N为项目数，L1、L2、L3项的二倍权数分封顶，L4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=</w:t>
      </w:r>
      <w:r>
        <w:rPr>
          <w:rFonts w:hint="eastAsia" w:ascii="Times New Roman" w:hAnsi="Times New Roman"/>
          <w:sz w:val="24"/>
          <w:szCs w:val="24"/>
        </w:rPr>
        <w:t>L1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 w:ascii="Times New Roman" w:hAnsi="Times New Roman"/>
          <w:sz w:val="24"/>
          <w:szCs w:val="24"/>
        </w:rPr>
        <w:t>L2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 w:ascii="Times New Roman" w:hAnsi="Times New Roman"/>
          <w:sz w:val="24"/>
          <w:szCs w:val="24"/>
        </w:rPr>
        <w:t>L3</w:t>
      </w:r>
      <w:r>
        <w:rPr>
          <w:rFonts w:hint="eastAsia" w:ascii="Times New Roman" w:hAnsi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/>
          <w:sz w:val="24"/>
          <w:szCs w:val="24"/>
        </w:rPr>
        <w:t>满分为24分</w:t>
      </w:r>
      <w:r>
        <w:rPr>
          <w:rFonts w:hint="eastAsia" w:ascii="Times New Roman" w:hAnsi="Times New Roman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四、奖项获得：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073"/>
        <w:gridCol w:w="1073"/>
        <w:gridCol w:w="1"/>
        <w:gridCol w:w="1072"/>
        <w:gridCol w:w="1073"/>
        <w:gridCol w:w="2"/>
        <w:gridCol w:w="1071"/>
        <w:gridCol w:w="1076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L1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L2</w:t>
            </w: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L3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权数系数1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国家级6分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省级3分</w:t>
            </w: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市级1分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权数系数2</w:t>
            </w:r>
          </w:p>
        </w:tc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项目名称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 w:eastAsia="仿宋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N为项目数，L1、L2、L3项的二倍权数分封顶，L4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=</w:t>
      </w:r>
      <w:r>
        <w:rPr>
          <w:rFonts w:hint="eastAsia" w:ascii="Times New Roman" w:hAnsi="Times New Roman"/>
          <w:sz w:val="24"/>
          <w:szCs w:val="24"/>
        </w:rPr>
        <w:t>L1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 w:ascii="Times New Roman" w:hAnsi="Times New Roman"/>
          <w:sz w:val="24"/>
          <w:szCs w:val="24"/>
        </w:rPr>
        <w:t>L2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 w:ascii="Times New Roman" w:hAnsi="Times New Roman"/>
          <w:sz w:val="24"/>
          <w:szCs w:val="24"/>
        </w:rPr>
        <w:t>L3</w:t>
      </w:r>
      <w:r>
        <w:rPr>
          <w:rFonts w:hint="eastAsia" w:ascii="Times New Roman" w:hAnsi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/>
          <w:sz w:val="24"/>
          <w:szCs w:val="24"/>
        </w:rPr>
        <w:t>满分为12分</w:t>
      </w:r>
      <w:r>
        <w:rPr>
          <w:rFonts w:hint="eastAsia" w:ascii="Times New Roman" w:hAnsi="Times New Roman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五、高新技术企业、技术中心、首台（套）、重点软件企业：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073"/>
        <w:gridCol w:w="1073"/>
        <w:gridCol w:w="1"/>
        <w:gridCol w:w="1072"/>
        <w:gridCol w:w="1073"/>
        <w:gridCol w:w="2"/>
        <w:gridCol w:w="1071"/>
        <w:gridCol w:w="1076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L1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L2</w:t>
            </w: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L3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权数系数1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国家级12分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省级6分</w:t>
            </w: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市级3分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权数系数2</w:t>
            </w:r>
          </w:p>
        </w:tc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项目名称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 w:eastAsia="仿宋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N为项目数，L1、L2、L3项的二倍权数分封顶，L4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=</w:t>
      </w:r>
      <w:r>
        <w:rPr>
          <w:rFonts w:hint="eastAsia" w:ascii="Times New Roman" w:hAnsi="Times New Roman"/>
          <w:sz w:val="24"/>
          <w:szCs w:val="24"/>
        </w:rPr>
        <w:t>L1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 w:ascii="Times New Roman" w:hAnsi="Times New Roman"/>
          <w:sz w:val="24"/>
          <w:szCs w:val="24"/>
        </w:rPr>
        <w:t>L2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 w:ascii="Times New Roman" w:hAnsi="Times New Roman"/>
          <w:sz w:val="24"/>
          <w:szCs w:val="24"/>
        </w:rPr>
        <w:t>L3</w:t>
      </w:r>
      <w:r>
        <w:rPr>
          <w:rFonts w:hint="eastAsia" w:ascii="Times New Roman" w:hAnsi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/>
          <w:sz w:val="24"/>
          <w:szCs w:val="24"/>
        </w:rPr>
        <w:t>满分为24分</w:t>
      </w:r>
      <w:r>
        <w:rPr>
          <w:rFonts w:hint="eastAsia" w:ascii="Times New Roman" w:hAnsi="Times New Roman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六、单项冠军、专精特新：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073"/>
        <w:gridCol w:w="1073"/>
        <w:gridCol w:w="1"/>
        <w:gridCol w:w="1072"/>
        <w:gridCol w:w="1073"/>
        <w:gridCol w:w="2"/>
        <w:gridCol w:w="1071"/>
        <w:gridCol w:w="1076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L1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L2</w:t>
            </w: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L3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权数系数1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国家级6分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省级3分</w:t>
            </w: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市级1分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权数系数2</w:t>
            </w:r>
          </w:p>
        </w:tc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N×0.6</w:t>
            </w:r>
          </w:p>
        </w:tc>
        <w:tc>
          <w:tcPr>
            <w:tcW w:w="1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1.0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项目名称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 w:eastAsia="仿宋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N为项目数，L1、L2、L3项的二倍权数分封顶，L4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=</w:t>
      </w:r>
      <w:r>
        <w:rPr>
          <w:rFonts w:hint="eastAsia" w:ascii="Times New Roman" w:hAnsi="Times New Roman"/>
          <w:sz w:val="24"/>
          <w:szCs w:val="24"/>
        </w:rPr>
        <w:t>L1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 w:ascii="Times New Roman" w:hAnsi="Times New Roman"/>
          <w:sz w:val="24"/>
          <w:szCs w:val="24"/>
        </w:rPr>
        <w:t>L2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+</w:t>
      </w:r>
      <w:r>
        <w:rPr>
          <w:rFonts w:hint="eastAsia" w:ascii="Times New Roman" w:hAnsi="Times New Roman"/>
          <w:sz w:val="24"/>
          <w:szCs w:val="24"/>
        </w:rPr>
        <w:t>L3</w:t>
      </w:r>
      <w:r>
        <w:rPr>
          <w:rFonts w:hint="eastAsia" w:ascii="Times New Roman" w:hAnsi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/>
          <w:sz w:val="24"/>
          <w:szCs w:val="24"/>
        </w:rPr>
        <w:t>满分为12分</w:t>
      </w:r>
      <w:r>
        <w:rPr>
          <w:rFonts w:hint="eastAsia" w:ascii="Times New Roman" w:hAnsi="Times New Roman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七、管理体系认证：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2540"/>
        <w:gridCol w:w="2540"/>
        <w:gridCol w:w="2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</w:t>
            </w:r>
          </w:p>
        </w:tc>
        <w:tc>
          <w:tcPr>
            <w:tcW w:w="50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L1</w:t>
            </w:r>
          </w:p>
        </w:tc>
        <w:tc>
          <w:tcPr>
            <w:tcW w:w="2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权数系数1</w:t>
            </w:r>
          </w:p>
        </w:tc>
        <w:tc>
          <w:tcPr>
            <w:tcW w:w="50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管理体系认证6分</w:t>
            </w:r>
          </w:p>
        </w:tc>
        <w:tc>
          <w:tcPr>
            <w:tcW w:w="2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权数系数2</w:t>
            </w:r>
          </w:p>
        </w:tc>
        <w:tc>
          <w:tcPr>
            <w:tcW w:w="2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多项N×0.6</w:t>
            </w:r>
          </w:p>
        </w:tc>
        <w:tc>
          <w:tcPr>
            <w:tcW w:w="2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单项1.0</w:t>
            </w:r>
          </w:p>
        </w:tc>
        <w:tc>
          <w:tcPr>
            <w:tcW w:w="2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认证名称</w:t>
            </w:r>
          </w:p>
        </w:tc>
        <w:tc>
          <w:tcPr>
            <w:tcW w:w="2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 w:eastAsia="仿宋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N为项目数，二倍权数分封顶</w:t>
      </w:r>
      <w:r>
        <w:rPr>
          <w:rFonts w:hint="eastAsia" w:ascii="Times New Roman" w:hAnsi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/>
          <w:sz w:val="24"/>
          <w:szCs w:val="24"/>
        </w:rPr>
        <w:t>满分为12分</w:t>
      </w:r>
      <w:r>
        <w:rPr>
          <w:rFonts w:hint="eastAsia" w:ascii="Times New Roman" w:hAnsi="Times New Roman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八、政府质量奖：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2147"/>
        <w:gridCol w:w="2147"/>
        <w:gridCol w:w="2147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L1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L2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L3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政府质量奖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省政府质量奖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12分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市政府质量奖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6分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县区（市）长质量奖  3分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项目名称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计分采用从高原则，不重复计分（满分为12分）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九、企业管理资质：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2147"/>
        <w:gridCol w:w="2147"/>
        <w:gridCol w:w="2147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L1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L2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L3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L4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管理资质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饭店五星、物流5A、建筑特级、道路一级等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 xml:space="preserve">  6分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饭店四星、物流4A、建筑一级、道路二级等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 xml:space="preserve">  3分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饭店三星、物流3A、建筑二级、道路三级等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 xml:space="preserve">  1分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项目名称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计分采用从高原则，不重复计分（满分为6分）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十、社会责任：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2147"/>
        <w:gridCol w:w="2147"/>
        <w:gridCol w:w="2147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社会责任项目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省级和谐企业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6分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市级和谐企业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3分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区县（市）级和谐企业  1分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具体名称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计分采用从高原则，不重复计分（满分为6分）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十一、资产负债率：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（满分为10分，具体详见填表说明）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1"/>
        <w:gridCol w:w="2028"/>
        <w:gridCol w:w="2028"/>
        <w:gridCol w:w="2030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资产负债率标准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制造类65%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商贸服务类70%</w:t>
            </w:r>
          </w:p>
        </w:tc>
        <w:tc>
          <w:tcPr>
            <w:tcW w:w="20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建筑房产类75%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2023年末资产负债率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以202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szCs w:val="24"/>
        </w:rPr>
        <w:t>年报数为填报依据，百分比保留二位小数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十二、营业收入增长率：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（满分为10分，详见填表说明）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2147"/>
        <w:gridCol w:w="2147"/>
        <w:gridCol w:w="2147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营业收入指标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基期年度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营业收入总额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a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)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报告期年度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营业收入总额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b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)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[b-a]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÷a×100%÷2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企业申报数值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（报告期年度营业收入总额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-</w:t>
      </w:r>
      <w:r>
        <w:rPr>
          <w:rFonts w:hint="eastAsia" w:ascii="Times New Roman" w:hAnsi="Times New Roman"/>
          <w:sz w:val="24"/>
          <w:szCs w:val="24"/>
        </w:rPr>
        <w:t>基期年度营业收入总额）</w:t>
      </w:r>
      <w:r>
        <w:rPr>
          <w:rFonts w:hint="eastAsia" w:ascii="Times New Roman" w:hAnsi="Times New Roman"/>
          <w:sz w:val="24"/>
          <w:szCs w:val="24"/>
          <w:lang w:eastAsia="zh-CN"/>
        </w:rPr>
        <w:t>÷</w:t>
      </w:r>
      <w:r>
        <w:rPr>
          <w:rFonts w:hint="eastAsia" w:ascii="Times New Roman" w:hAnsi="Times New Roman"/>
          <w:sz w:val="24"/>
          <w:szCs w:val="24"/>
        </w:rPr>
        <w:t>基期年度营业收入总额</w:t>
      </w:r>
      <w:r>
        <w:rPr>
          <w:rFonts w:hint="eastAsia" w:ascii="Times New Roman" w:hAnsi="Times New Roman"/>
          <w:sz w:val="24"/>
          <w:szCs w:val="24"/>
          <w:lang w:eastAsia="zh-CN"/>
        </w:rPr>
        <w:t>×</w:t>
      </w:r>
      <w:r>
        <w:rPr>
          <w:rFonts w:hint="eastAsia" w:ascii="Times New Roman" w:hAnsi="Times New Roman"/>
          <w:sz w:val="24"/>
          <w:szCs w:val="24"/>
        </w:rPr>
        <w:t>100%</w:t>
      </w:r>
      <w:r>
        <w:rPr>
          <w:rFonts w:hint="eastAsia" w:ascii="Times New Roman" w:hAnsi="Times New Roman"/>
          <w:sz w:val="24"/>
          <w:szCs w:val="24"/>
          <w:lang w:eastAsia="zh-CN"/>
        </w:rPr>
        <w:t>÷</w:t>
      </w:r>
      <w:r>
        <w:rPr>
          <w:rFonts w:hint="eastAsia" w:ascii="Times New Roman" w:hAnsi="Times New Roman"/>
          <w:sz w:val="24"/>
          <w:szCs w:val="24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报告期数据为202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szCs w:val="24"/>
        </w:rPr>
        <w:t>年，基期数据为202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szCs w:val="24"/>
        </w:rPr>
        <w:t>年。单位：万元；百分比保留二位小数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十三、研发费用增长率：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（满分为10分，详见填表说明）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2147"/>
        <w:gridCol w:w="2147"/>
        <w:gridCol w:w="2147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营业收入指标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基期年度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研发费用总额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a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)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报告期年度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研发费用总额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b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)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[b-a]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÷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a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×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100%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÷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企业申报数值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（报告期年度研发费用总额</w:t>
      </w:r>
      <w:r>
        <w:rPr>
          <w:rFonts w:hint="eastAsia" w:ascii="仿宋" w:hAnsi="仿宋" w:eastAsia="仿宋" w:cs="仿宋"/>
          <w:sz w:val="24"/>
          <w:szCs w:val="24"/>
        </w:rPr>
        <w:t>-</w:t>
      </w:r>
      <w:r>
        <w:rPr>
          <w:rFonts w:hint="eastAsia" w:ascii="Times New Roman" w:hAnsi="Times New Roman"/>
          <w:sz w:val="24"/>
          <w:szCs w:val="24"/>
        </w:rPr>
        <w:t>基期年度研发费用总额）</w:t>
      </w:r>
      <w:r>
        <w:rPr>
          <w:rFonts w:hint="eastAsia" w:ascii="Times New Roman" w:hAnsi="Times New Roman"/>
          <w:sz w:val="24"/>
          <w:szCs w:val="24"/>
          <w:lang w:eastAsia="zh-CN"/>
        </w:rPr>
        <w:t>÷</w:t>
      </w:r>
      <w:r>
        <w:rPr>
          <w:rFonts w:hint="eastAsia" w:ascii="Times New Roman" w:hAnsi="Times New Roman"/>
          <w:sz w:val="24"/>
          <w:szCs w:val="24"/>
        </w:rPr>
        <w:t>基期年度研发费用总额</w:t>
      </w:r>
      <w:r>
        <w:rPr>
          <w:rFonts w:hint="eastAsia" w:ascii="Times New Roman" w:hAnsi="Times New Roman"/>
          <w:sz w:val="24"/>
          <w:szCs w:val="24"/>
          <w:lang w:eastAsia="zh-CN"/>
        </w:rPr>
        <w:t>×</w:t>
      </w:r>
      <w:r>
        <w:rPr>
          <w:rFonts w:hint="eastAsia" w:ascii="Times New Roman" w:hAnsi="Times New Roman"/>
          <w:sz w:val="24"/>
          <w:szCs w:val="24"/>
        </w:rPr>
        <w:t>100%</w:t>
      </w:r>
      <w:r>
        <w:rPr>
          <w:rFonts w:hint="eastAsia" w:ascii="Times New Roman" w:hAnsi="Times New Roman"/>
          <w:sz w:val="24"/>
          <w:szCs w:val="24"/>
          <w:lang w:eastAsia="zh-CN"/>
        </w:rPr>
        <w:t>÷</w:t>
      </w:r>
      <w:r>
        <w:rPr>
          <w:rFonts w:hint="eastAsia" w:ascii="Times New Roman" w:hAnsi="Times New Roman"/>
          <w:sz w:val="24"/>
          <w:szCs w:val="24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报告期数据为202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szCs w:val="24"/>
        </w:rPr>
        <w:t>年，基期数据为202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szCs w:val="24"/>
        </w:rPr>
        <w:t>年。单位：万元；百分比保留二位小数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十四、利润增长率：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（满分为20分，详见填表说明）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2147"/>
        <w:gridCol w:w="2147"/>
        <w:gridCol w:w="2147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企业利润指标（一）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基期年度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利润总额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a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)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报告期年度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利润总额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b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)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[b-a]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÷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a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×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100%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÷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权数分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基期利润为正数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企业利润指标（二）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基期年度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利润总额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a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)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报告期年度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b w:val="0"/>
                <w:bCs w:val="0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利润总额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b</w:t>
            </w:r>
            <w:r>
              <w:rPr>
                <w:rFonts w:hint="eastAsia" w:eastAsia="黑体" w:cs="Times New Roman"/>
                <w:spacing w:val="0"/>
                <w:sz w:val="24"/>
                <w:szCs w:val="20"/>
                <w:lang w:val="en-US" w:eastAsia="zh-CN"/>
              </w:rPr>
              <w:t>)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{1-[b-a]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÷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a}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×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100%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÷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基期利润为负数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得分情况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——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40" w:firstLineChars="10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基期利润为正数：（报告期年度利润总额</w:t>
      </w:r>
      <w:r>
        <w:rPr>
          <w:rFonts w:hint="eastAsia" w:ascii="仿宋" w:hAnsi="仿宋" w:eastAsia="仿宋" w:cs="仿宋"/>
          <w:sz w:val="24"/>
          <w:szCs w:val="24"/>
        </w:rPr>
        <w:t>-</w:t>
      </w:r>
      <w:r>
        <w:rPr>
          <w:rFonts w:hint="eastAsia" w:ascii="Times New Roman" w:hAnsi="Times New Roman"/>
          <w:sz w:val="24"/>
          <w:szCs w:val="24"/>
        </w:rPr>
        <w:t>基期年度利润总额）</w:t>
      </w:r>
      <w:r>
        <w:rPr>
          <w:rFonts w:hint="eastAsia" w:ascii="Times New Roman" w:hAnsi="Times New Roman"/>
          <w:sz w:val="24"/>
          <w:szCs w:val="24"/>
          <w:lang w:eastAsia="zh-CN"/>
        </w:rPr>
        <w:t>÷</w:t>
      </w:r>
      <w:r>
        <w:rPr>
          <w:rFonts w:hint="eastAsia" w:ascii="Times New Roman" w:hAnsi="Times New Roman"/>
          <w:sz w:val="24"/>
          <w:szCs w:val="24"/>
        </w:rPr>
        <w:t>基期年度利润总额</w:t>
      </w:r>
      <w:r>
        <w:rPr>
          <w:rFonts w:hint="eastAsia" w:ascii="Times New Roman" w:hAnsi="Times New Roman"/>
          <w:sz w:val="24"/>
          <w:szCs w:val="24"/>
          <w:lang w:eastAsia="zh-CN"/>
        </w:rPr>
        <w:t>×</w:t>
      </w:r>
      <w:r>
        <w:rPr>
          <w:rFonts w:hint="eastAsia" w:ascii="Times New Roman" w:hAnsi="Times New Roman"/>
          <w:sz w:val="24"/>
          <w:szCs w:val="24"/>
        </w:rPr>
        <w:t>100%</w:t>
      </w:r>
      <w:r>
        <w:rPr>
          <w:rFonts w:hint="eastAsia" w:ascii="Times New Roman" w:hAnsi="Times New Roman"/>
          <w:sz w:val="24"/>
          <w:szCs w:val="24"/>
          <w:lang w:eastAsia="zh-CN"/>
        </w:rPr>
        <w:t>÷</w:t>
      </w:r>
      <w:r>
        <w:rPr>
          <w:rFonts w:hint="eastAsia" w:ascii="Times New Roman" w:hAnsi="Times New Roman"/>
          <w:sz w:val="24"/>
          <w:szCs w:val="24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40" w:firstLineChars="10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基期利润为负数：</w:t>
      </w:r>
      <w:r>
        <w:rPr>
          <w:rFonts w:hint="eastAsia" w:ascii="仿宋" w:hAnsi="仿宋" w:eastAsia="仿宋" w:cs="仿宋"/>
          <w:sz w:val="24"/>
          <w:szCs w:val="24"/>
        </w:rPr>
        <w:t>[</w:t>
      </w:r>
      <w:r>
        <w:rPr>
          <w:rFonts w:hint="eastAsia" w:ascii="Times New Roman" w:hAnsi="Times New Roman"/>
          <w:sz w:val="24"/>
          <w:szCs w:val="24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-</w:t>
      </w:r>
      <w:r>
        <w:rPr>
          <w:rFonts w:hint="eastAsia" w:ascii="Times New Roman" w:hAnsi="Times New Roman"/>
          <w:sz w:val="24"/>
          <w:szCs w:val="24"/>
        </w:rPr>
        <w:t>（报告期年度利润总额-基期年度利润总额）</w:t>
      </w:r>
      <w:r>
        <w:rPr>
          <w:rFonts w:hint="eastAsia" w:ascii="Times New Roman" w:hAnsi="Times New Roman"/>
          <w:sz w:val="24"/>
          <w:szCs w:val="24"/>
          <w:lang w:eastAsia="zh-CN"/>
        </w:rPr>
        <w:t>÷</w:t>
      </w:r>
      <w:r>
        <w:rPr>
          <w:rFonts w:hint="eastAsia" w:ascii="Times New Roman" w:hAnsi="Times New Roman"/>
          <w:sz w:val="24"/>
          <w:szCs w:val="24"/>
        </w:rPr>
        <w:t>基期年度利润总额</w:t>
      </w:r>
      <w:r>
        <w:rPr>
          <w:rFonts w:hint="eastAsia" w:ascii="仿宋" w:hAnsi="仿宋" w:eastAsia="仿宋" w:cs="仿宋"/>
          <w:sz w:val="24"/>
          <w:szCs w:val="24"/>
        </w:rPr>
        <w:t>]</w:t>
      </w:r>
      <w:r>
        <w:rPr>
          <w:rFonts w:hint="eastAsia" w:ascii="Times New Roman" w:hAnsi="Times New Roman"/>
          <w:sz w:val="24"/>
          <w:szCs w:val="24"/>
          <w:lang w:eastAsia="zh-CN"/>
        </w:rPr>
        <w:t>×</w:t>
      </w:r>
      <w:r>
        <w:rPr>
          <w:rFonts w:hint="eastAsia" w:ascii="Times New Roman" w:hAnsi="Times New Roman"/>
          <w:sz w:val="24"/>
          <w:szCs w:val="24"/>
        </w:rPr>
        <w:t>100%</w:t>
      </w:r>
      <w:r>
        <w:rPr>
          <w:rFonts w:hint="eastAsia" w:ascii="Times New Roman" w:hAnsi="Times New Roman"/>
          <w:sz w:val="24"/>
          <w:szCs w:val="24"/>
          <w:lang w:eastAsia="zh-CN"/>
        </w:rPr>
        <w:t>÷</w:t>
      </w:r>
      <w:r>
        <w:rPr>
          <w:rFonts w:hint="eastAsia" w:ascii="Times New Roman" w:hAnsi="Times New Roman"/>
          <w:sz w:val="24"/>
          <w:szCs w:val="24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240" w:firstLineChars="10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注：</w:t>
      </w:r>
      <w:r>
        <w:rPr>
          <w:rFonts w:hint="eastAsia" w:ascii="Times New Roman" w:hAnsi="Times New Roman"/>
          <w:sz w:val="24"/>
          <w:szCs w:val="24"/>
        </w:rPr>
        <w:t>报告期数据为202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szCs w:val="24"/>
        </w:rPr>
        <w:t>年，基期数据为202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szCs w:val="24"/>
        </w:rPr>
        <w:t>年。单位：万元；百分比保留二位小数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十五、企业上市计划及上市进程：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请打“√”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1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/>
          <w:sz w:val="24"/>
          <w:szCs w:val="24"/>
        </w:rPr>
        <w:t>已上市（     ）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 2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/>
          <w:sz w:val="24"/>
          <w:szCs w:val="24"/>
        </w:rPr>
        <w:t xml:space="preserve">已上市辅导（      ）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3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/>
          <w:sz w:val="24"/>
          <w:szCs w:val="24"/>
        </w:rPr>
        <w:t>有上市意向（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sz w:val="24"/>
          <w:szCs w:val="24"/>
        </w:rPr>
      </w:pPr>
    </w:p>
    <w:p>
      <w:pPr>
        <w:pStyle w:val="11"/>
        <w:bidi w:val="0"/>
        <w:ind w:left="0" w:leftChars="0" w:firstLine="0" w:firstLineChars="0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合计：                              得分：          </w:t>
      </w:r>
    </w:p>
    <w:tbl>
      <w:tblPr>
        <w:tblStyle w:val="5"/>
        <w:tblW w:w="984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1406"/>
        <w:gridCol w:w="470"/>
        <w:gridCol w:w="936"/>
        <w:gridCol w:w="1406"/>
        <w:gridCol w:w="940"/>
        <w:gridCol w:w="466"/>
        <w:gridCol w:w="1406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第1项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第2项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第3项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第4项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第5项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第6项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第7项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第8项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第9项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第10项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第11项</w:t>
            </w: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第12项</w:t>
            </w: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第13项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第14项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法人代表（签字）：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申报企业（盖章）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2024年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月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日</w:t>
            </w:r>
          </w:p>
        </w:tc>
        <w:tc>
          <w:tcPr>
            <w:tcW w:w="32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240" w:firstLineChars="100"/>
              <w:jc w:val="both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申报指标数据属实。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主管财务负责人（签字）：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2024年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月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日</w:t>
            </w:r>
          </w:p>
        </w:tc>
        <w:tc>
          <w:tcPr>
            <w:tcW w:w="32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240" w:firstLineChars="100"/>
              <w:jc w:val="lef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提交经审计的2021</w:t>
            </w:r>
            <w:r>
              <w:rPr>
                <w:rFonts w:hint="eastAsia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2023年度财务报告复印件，或相关证明材料。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2024年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月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黑体" w:cs="Times New Roman"/>
                <w:spacing w:val="0"/>
                <w:sz w:val="24"/>
                <w:szCs w:val="20"/>
                <w:lang w:val="en-US" w:eastAsia="zh-CN"/>
              </w:rPr>
              <w:t>日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pStyle w:val="11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附件3：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填表说明</w:t>
      </w:r>
    </w:p>
    <w:p>
      <w:pPr>
        <w:pStyle w:val="11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一、</w:t>
      </w:r>
      <w:r>
        <w:rPr>
          <w:rFonts w:hint="default"/>
          <w:sz w:val="32"/>
          <w:szCs w:val="32"/>
          <w:lang w:val="en-US" w:eastAsia="zh-CN"/>
        </w:rPr>
        <w:t>国际、国家行业产品标准修订：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权数1：国际行业产品标准12分、国家级9分、</w:t>
      </w:r>
      <w:r>
        <w:rPr>
          <w:rFonts w:hint="eastAsia"/>
          <w:sz w:val="32"/>
          <w:szCs w:val="32"/>
          <w:lang w:val="en-US" w:eastAsia="zh-CN"/>
        </w:rPr>
        <w:t>黑龙江</w:t>
      </w:r>
      <w:r>
        <w:rPr>
          <w:rFonts w:hint="default"/>
          <w:sz w:val="32"/>
          <w:szCs w:val="32"/>
          <w:lang w:val="en-US" w:eastAsia="zh-CN"/>
        </w:rPr>
        <w:t>标准及行业（联盟）标准计6分；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权数2：单项系数为1.0，多项系数为N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0.6；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权数1与权数2相乘得出得分数。（2018年起有效，以已公布为准）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注：</w:t>
      </w:r>
      <w:r>
        <w:rPr>
          <w:rFonts w:hint="default"/>
          <w:sz w:val="32"/>
          <w:szCs w:val="32"/>
          <w:lang w:val="en-US" w:eastAsia="zh-CN"/>
        </w:rPr>
        <w:t>N为项目数，L1、L2、L3项的二倍权数分封顶，L4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=</w:t>
      </w:r>
      <w:r>
        <w:rPr>
          <w:rFonts w:hint="default"/>
          <w:sz w:val="32"/>
          <w:szCs w:val="32"/>
          <w:lang w:val="en-US" w:eastAsia="zh-CN"/>
        </w:rPr>
        <w:t>L1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L2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L3（满分为24分）</w:t>
      </w:r>
    </w:p>
    <w:p>
      <w:pPr>
        <w:pStyle w:val="11"/>
        <w:bidi w:val="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专利、版权获得情况：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权数1：获得发明专利6分、实用新型专利3分、外观设计专利1分；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软件及文化影视传媒产业：软件著作权及</w:t>
      </w:r>
      <w:r>
        <w:rPr>
          <w:rFonts w:hint="eastAsia"/>
          <w:sz w:val="32"/>
          <w:szCs w:val="32"/>
          <w:lang w:val="en-US" w:eastAsia="zh-CN"/>
        </w:rPr>
        <w:t>其他</w:t>
      </w:r>
      <w:r>
        <w:rPr>
          <w:rFonts w:hint="default"/>
          <w:sz w:val="32"/>
          <w:szCs w:val="32"/>
          <w:lang w:val="en-US" w:eastAsia="zh-CN"/>
        </w:rPr>
        <w:t>著作版权的，视同实用新型专利计3分；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权数2：单项系数为1.0，多项系数为N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0.6；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权数1与权数2相乘得出得分数。（2018年起有效，以已公布为准）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注：</w:t>
      </w:r>
      <w:r>
        <w:rPr>
          <w:rFonts w:hint="default"/>
          <w:sz w:val="32"/>
          <w:szCs w:val="32"/>
          <w:lang w:val="en-US" w:eastAsia="zh-CN"/>
        </w:rPr>
        <w:t>N为项目数，L1、L2、L3项的二倍权数分封顶，L4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=</w:t>
      </w:r>
      <w:r>
        <w:rPr>
          <w:rFonts w:hint="default"/>
          <w:sz w:val="32"/>
          <w:szCs w:val="32"/>
          <w:lang w:val="en-US" w:eastAsia="zh-CN"/>
        </w:rPr>
        <w:t>L1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L2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L3（满分为12分）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三、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科学技术奖：</w:t>
      </w:r>
      <w:r>
        <w:rPr>
          <w:rFonts w:hint="default"/>
          <w:sz w:val="32"/>
          <w:szCs w:val="32"/>
          <w:lang w:val="en-US" w:eastAsia="zh-CN"/>
        </w:rPr>
        <w:t>为表彰企业在技术研究、技术开发、技术创新、推广应用先进科学技术成果、促进高新技术产业化，以及完成重大科学技术工程、计划等过程中做出创造性贡献所设立的奖项，以国家、省、市科技部门颁发的科学技术奖为计分依据。（非科技部门颁发的科学技术奖，作降档处理，即国家级降至省级、省级降至市级，以此类推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权数1：国家科学技术奖计12分、省级计9分、市级计6分；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权数2：国家科学技术特等奖N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2.0，一等奖N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1.0，二等奖N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0.8；省、市级一等奖N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1.0，二等奖N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0.8，三等奖N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0.6；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权数1与权数2相乘得出得分数。（2018年起有效，以已公布为准）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注：</w:t>
      </w:r>
      <w:r>
        <w:rPr>
          <w:rFonts w:hint="default"/>
          <w:sz w:val="32"/>
          <w:szCs w:val="32"/>
          <w:lang w:val="en-US" w:eastAsia="zh-CN"/>
        </w:rPr>
        <w:t>N为项目数，L1、L2、L3项的二倍权数分封顶，L4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=</w:t>
      </w:r>
      <w:r>
        <w:rPr>
          <w:rFonts w:hint="default"/>
          <w:sz w:val="32"/>
          <w:szCs w:val="32"/>
          <w:lang w:val="en-US" w:eastAsia="zh-CN"/>
        </w:rPr>
        <w:t>L1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L2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L3（满分为24分）</w:t>
      </w:r>
    </w:p>
    <w:p>
      <w:pPr>
        <w:pStyle w:val="9"/>
        <w:bidi w:val="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四、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奖项获得：</w:t>
      </w:r>
      <w:r>
        <w:rPr>
          <w:rFonts w:hint="default"/>
          <w:sz w:val="32"/>
          <w:szCs w:val="32"/>
          <w:lang w:val="en-US" w:eastAsia="zh-CN"/>
        </w:rPr>
        <w:t>获得国家、省、市政府部门颁发的涉及企业产品、质量、设计、研发等的奖项，以及得到政府部门认可的，获得重大贡献的产品。包括：建筑业的国家优质工程金奖、鲁班奖（含工法）；国家</w:t>
      </w:r>
      <w:r>
        <w:rPr>
          <w:rFonts w:hint="eastAsia"/>
          <w:sz w:val="32"/>
          <w:szCs w:val="32"/>
          <w:lang w:val="en-US" w:eastAsia="zh-CN"/>
        </w:rPr>
        <w:t>优质</w:t>
      </w:r>
      <w:r>
        <w:rPr>
          <w:rFonts w:hint="default"/>
          <w:sz w:val="32"/>
          <w:szCs w:val="32"/>
          <w:lang w:val="en-US" w:eastAsia="zh-CN"/>
        </w:rPr>
        <w:t>工程银奖、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龙江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杯、省级奖（含工法）；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丁香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杯、市级奖（含工法）。酒店业的绿色旅游饭店金叶级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、银叶级称号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等；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其他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行业以此类推。（非职能部门颁发的奖项，作降档处理，即国家级降至省级、省级降至市级，以此类推；在国际、国内展会上获奖不作计分依据）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权数1：国家级6分、省级3分、市级1分；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权数2：单项系数为1.0，多项系数为N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0.6；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权数1与权数2相乘得出得分数。（2018年起有效，以已公布为准，同级允许相加）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注：</w:t>
      </w:r>
      <w:r>
        <w:rPr>
          <w:rFonts w:hint="default"/>
          <w:sz w:val="32"/>
          <w:szCs w:val="32"/>
          <w:lang w:val="en-US" w:eastAsia="zh-CN"/>
        </w:rPr>
        <w:t>N为项目数，L1、L2、L3项的二倍权数分封顶，L4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=</w:t>
      </w:r>
      <w:r>
        <w:rPr>
          <w:rFonts w:hint="default"/>
          <w:sz w:val="32"/>
          <w:szCs w:val="32"/>
          <w:lang w:val="en-US" w:eastAsia="zh-CN"/>
        </w:rPr>
        <w:t>L1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L2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L3（满分为12分）</w:t>
      </w:r>
    </w:p>
    <w:p>
      <w:pPr>
        <w:pStyle w:val="11"/>
        <w:bidi w:val="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五、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高新技术企业、首台（套）、技术中心、重点软件企业：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为促进高新技术发展，将高新技术企业、首台（套）等列为计分依据；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技术中心涵盖：产品技术中心、质量技术中心、工程技术中心、检测技术中心等；</w:t>
      </w:r>
    </w:p>
    <w:p>
      <w:pPr>
        <w:pStyle w:val="9"/>
        <w:bidi w:val="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为鼓励软件行业发展，将国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家、省、市重点软件企业列为计分依据；</w:t>
      </w:r>
    </w:p>
    <w:p>
      <w:pPr>
        <w:pStyle w:val="9"/>
        <w:bidi w:val="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权数1：国家级12分、省级6分、市级3分；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权数2：单项系数为1.0，多项系数为N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0.6；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权数1与权数2相乘得出得分数。（2018年起有效，以已公布为准，同级允许相加）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注：</w:t>
      </w:r>
      <w:r>
        <w:rPr>
          <w:rFonts w:hint="default"/>
          <w:sz w:val="32"/>
          <w:szCs w:val="32"/>
          <w:lang w:val="en-US" w:eastAsia="zh-CN"/>
        </w:rPr>
        <w:t>N为项目数，L1、L2、L3项的二倍权数分封顶，L4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=</w:t>
      </w:r>
      <w:r>
        <w:rPr>
          <w:rFonts w:hint="default"/>
          <w:sz w:val="32"/>
          <w:szCs w:val="32"/>
          <w:lang w:val="en-US" w:eastAsia="zh-CN"/>
        </w:rPr>
        <w:t>L1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L2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L3（满分为24分）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六、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单项冠军、专精特新：</w:t>
      </w:r>
      <w:r>
        <w:rPr>
          <w:rFonts w:hint="default"/>
          <w:sz w:val="32"/>
          <w:szCs w:val="32"/>
          <w:lang w:val="en-US" w:eastAsia="zh-CN"/>
        </w:rPr>
        <w:t>为加快提升企业竞争力，以国家、省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、市</w:t>
      </w:r>
      <w:r>
        <w:rPr>
          <w:rFonts w:hint="eastAsia"/>
          <w:sz w:val="32"/>
          <w:szCs w:val="32"/>
          <w:lang w:val="en-US" w:eastAsia="zh-CN"/>
        </w:rPr>
        <w:t>“</w:t>
      </w:r>
      <w:r>
        <w:rPr>
          <w:rFonts w:hint="default"/>
          <w:sz w:val="32"/>
          <w:szCs w:val="32"/>
          <w:lang w:val="en-US" w:eastAsia="zh-CN"/>
        </w:rPr>
        <w:t>单项冠军</w:t>
      </w:r>
      <w:r>
        <w:rPr>
          <w:rFonts w:hint="eastAsia"/>
          <w:sz w:val="32"/>
          <w:szCs w:val="32"/>
          <w:lang w:val="en-US" w:eastAsia="zh-CN"/>
        </w:rPr>
        <w:t>”“</w:t>
      </w:r>
      <w:r>
        <w:rPr>
          <w:rFonts w:hint="default"/>
          <w:sz w:val="32"/>
          <w:szCs w:val="32"/>
          <w:lang w:val="en-US" w:eastAsia="zh-CN"/>
        </w:rPr>
        <w:t>专精特新</w:t>
      </w:r>
      <w:r>
        <w:rPr>
          <w:rFonts w:hint="eastAsia"/>
          <w:sz w:val="32"/>
          <w:szCs w:val="32"/>
          <w:lang w:val="en-US" w:eastAsia="zh-CN"/>
        </w:rPr>
        <w:t>”</w:t>
      </w:r>
      <w:r>
        <w:rPr>
          <w:rFonts w:hint="default"/>
          <w:sz w:val="32"/>
          <w:szCs w:val="32"/>
          <w:lang w:val="en-US" w:eastAsia="zh-CN"/>
        </w:rPr>
        <w:t>企业列为计分依据；（2018年起有效，以已公布为准，同级允许相加）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注：</w:t>
      </w:r>
      <w:r>
        <w:rPr>
          <w:rFonts w:hint="default"/>
          <w:sz w:val="32"/>
          <w:szCs w:val="32"/>
          <w:lang w:val="en-US" w:eastAsia="zh-CN"/>
        </w:rPr>
        <w:t>N为项目数，L1、L2、L3项的二倍权数分封顶，L4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=</w:t>
      </w:r>
      <w:r>
        <w:rPr>
          <w:rFonts w:hint="default"/>
          <w:sz w:val="32"/>
          <w:szCs w:val="32"/>
          <w:lang w:val="en-US" w:eastAsia="zh-CN"/>
        </w:rPr>
        <w:t>L1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L2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+</w:t>
      </w:r>
      <w:r>
        <w:rPr>
          <w:rFonts w:hint="default"/>
          <w:sz w:val="32"/>
          <w:szCs w:val="32"/>
          <w:lang w:val="en-US" w:eastAsia="zh-CN"/>
        </w:rPr>
        <w:t>L3（满分为12分）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七、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管理体系认证：</w:t>
      </w:r>
      <w:r>
        <w:rPr>
          <w:rFonts w:hint="default"/>
          <w:sz w:val="32"/>
          <w:szCs w:val="32"/>
          <w:lang w:val="en-US" w:eastAsia="zh-CN"/>
        </w:rPr>
        <w:t>以国家认监委认可的体系认证计权数分，包括：ISO9000、ISO14000、OHSAS18000、TS16949、ISO13485、ISO14064、ISO27000、QC080000、ISO22000/HACCP、SA8000、BSCI、军标认证、TL9000认证、软件CMMI认证等。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权数1：6分；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权数2：单项系数为1.0，多项系数为N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0.6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权数1与权数2相乘得出得分数。（2018年起有效，以已公布为准）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注：</w:t>
      </w:r>
      <w:r>
        <w:rPr>
          <w:rFonts w:hint="default"/>
          <w:sz w:val="32"/>
          <w:szCs w:val="32"/>
          <w:lang w:val="en-US" w:eastAsia="zh-CN"/>
        </w:rPr>
        <w:t>N为项目数，二倍权数分封顶。（满分为12分）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八、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政府质量奖：</w:t>
      </w:r>
      <w:r>
        <w:rPr>
          <w:rFonts w:hint="default"/>
          <w:sz w:val="32"/>
          <w:szCs w:val="32"/>
          <w:lang w:val="en-US" w:eastAsia="zh-CN"/>
        </w:rPr>
        <w:t>以企业获得省、市、区（县市）级政府质量奖为计分条件。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权数：获得省长（省政府）质量奖计12分、市长（市政府）质量奖6分、区县（市）长质量奖3分。（2018年起有效，以已公布为准）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注：</w:t>
      </w:r>
      <w:r>
        <w:rPr>
          <w:rFonts w:hint="default"/>
          <w:sz w:val="32"/>
          <w:szCs w:val="32"/>
          <w:lang w:val="en-US" w:eastAsia="zh-CN"/>
        </w:rPr>
        <w:t>计分采用从高原则，不重复计分。（满分为12分）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九、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企业资质：</w:t>
      </w:r>
      <w:r>
        <w:rPr>
          <w:rFonts w:hint="default"/>
          <w:sz w:val="32"/>
          <w:szCs w:val="32"/>
          <w:lang w:val="en-US" w:eastAsia="zh-CN"/>
        </w:rPr>
        <w:t>以企业获得酒店业星级评定、建筑业、物流业、道路客（货）运等级评定等为计分条件，其他行业视行业等级情况类推。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饭店业：五星级酒店的计6分、四星级计3分、三星级计1分；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物流业：获得5A级的计6分、4A级计3分、3A级计1分；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建筑业：特级资质计6分、一级资质计3分、二级资质计1分；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道路客（货）运：一级资质的计6分、二级资质计3分、三级资质计1分。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注：</w:t>
      </w:r>
      <w:r>
        <w:rPr>
          <w:rFonts w:hint="default"/>
          <w:sz w:val="32"/>
          <w:szCs w:val="32"/>
          <w:lang w:val="en-US" w:eastAsia="zh-CN"/>
        </w:rPr>
        <w:t>计分采用从高原则，不重复计分、2018年起有效。（满分为6分）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十、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社会责任：</w:t>
      </w:r>
      <w:r>
        <w:rPr>
          <w:rFonts w:hint="default"/>
          <w:sz w:val="32"/>
          <w:szCs w:val="32"/>
          <w:lang w:val="en-US" w:eastAsia="zh-CN"/>
        </w:rPr>
        <w:t>为鼓励企业在创造财富的同时提高企业的人才集聚能力，积极履行社会责任，为社会尽自己的一份力量。本指标以和谐企业创建、双爱活动、文明单位评比等为计分依据。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权数：获得省级以上计6分、市级计3分、县区（市）级计1分。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注：</w:t>
      </w:r>
      <w:r>
        <w:rPr>
          <w:rFonts w:hint="default"/>
          <w:sz w:val="32"/>
          <w:szCs w:val="32"/>
          <w:lang w:val="en-US" w:eastAsia="zh-CN"/>
        </w:rPr>
        <w:t>计分采用从高原则，不重复计分，2018年起有效。（满分为6分）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十一、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资产负债率：</w:t>
      </w:r>
      <w:r>
        <w:rPr>
          <w:rFonts w:hint="default"/>
          <w:sz w:val="32"/>
          <w:szCs w:val="32"/>
          <w:lang w:val="en-US" w:eastAsia="zh-CN"/>
        </w:rPr>
        <w:t>（单位：百分比%，保留二位小数，满分为10分）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资产负债率是评价公司负债水平的综合指标，资产负债率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=</w:t>
      </w:r>
      <w:r>
        <w:rPr>
          <w:rFonts w:hint="default"/>
          <w:sz w:val="32"/>
          <w:szCs w:val="32"/>
          <w:lang w:val="en-US" w:eastAsia="zh-CN"/>
        </w:rPr>
        <w:t>负债总额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÷</w:t>
      </w:r>
      <w:r>
        <w:rPr>
          <w:rFonts w:hint="default"/>
          <w:sz w:val="32"/>
          <w:szCs w:val="32"/>
          <w:lang w:val="en-US" w:eastAsia="zh-CN"/>
        </w:rPr>
        <w:t>资产总额</w:t>
      </w:r>
      <w:r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100%，以制造类企业65%、商贸服务类企业70%、建筑房产类75%为权数设置标准，每低于权数标准1%的计1分，以此类推，满分为10分，高于权数设置标准不计分。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十二、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营业收入增长率：</w:t>
      </w:r>
      <w:r>
        <w:rPr>
          <w:rFonts w:hint="default"/>
          <w:sz w:val="32"/>
          <w:szCs w:val="32"/>
          <w:lang w:val="en-US" w:eastAsia="zh-CN"/>
        </w:rPr>
        <w:t>（单位：万元，保留二位小数，满分为10分）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营业收入增长率代表公司产品销售量的增加，市场占有率的扩大。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营业收入增长率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=</w:t>
      </w:r>
      <w:r>
        <w:rPr>
          <w:rFonts w:hint="default"/>
          <w:sz w:val="32"/>
          <w:szCs w:val="32"/>
          <w:lang w:val="en-US" w:eastAsia="zh-CN"/>
        </w:rPr>
        <w:t>（报告期年度营业收入金额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-</w:t>
      </w:r>
      <w:r>
        <w:rPr>
          <w:rFonts w:hint="default"/>
          <w:sz w:val="32"/>
          <w:szCs w:val="32"/>
          <w:lang w:val="en-US" w:eastAsia="zh-CN"/>
        </w:rPr>
        <w:t>基期年度营业收入金额）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÷</w:t>
      </w:r>
      <w:r>
        <w:rPr>
          <w:rFonts w:hint="default"/>
          <w:sz w:val="32"/>
          <w:szCs w:val="32"/>
          <w:lang w:val="en-US" w:eastAsia="zh-CN"/>
        </w:rPr>
        <w:t>基期年度营业收入金额</w:t>
      </w:r>
      <w:r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100%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÷</w:t>
      </w:r>
      <w:r>
        <w:rPr>
          <w:rFonts w:hint="default"/>
          <w:sz w:val="32"/>
          <w:szCs w:val="32"/>
          <w:lang w:val="en-US" w:eastAsia="zh-CN"/>
        </w:rPr>
        <w:t>2；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设置权数：以连续二个年度营业增长率的平均值为计算依据，每增长一个百分比率计1分，以此类推，满分为10分，负数不计分。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十三、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研发费用增长率：</w:t>
      </w:r>
      <w:r>
        <w:rPr>
          <w:rFonts w:hint="default"/>
          <w:sz w:val="32"/>
          <w:szCs w:val="32"/>
          <w:lang w:val="en-US" w:eastAsia="zh-CN"/>
        </w:rPr>
        <w:t>（单位：万元，保留二位小数，满分为10分）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研发费用增长率代表研发投入的逐年增加，企业的创新力度在提升。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研发费用增长率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=</w:t>
      </w:r>
      <w:r>
        <w:rPr>
          <w:rFonts w:hint="default"/>
          <w:sz w:val="32"/>
          <w:szCs w:val="32"/>
          <w:lang w:val="en-US" w:eastAsia="zh-CN"/>
        </w:rPr>
        <w:t>（报告期年度研发费用总额</w:t>
      </w:r>
      <w:r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  <w:t>-</w:t>
      </w:r>
      <w:r>
        <w:rPr>
          <w:rFonts w:hint="default"/>
          <w:sz w:val="32"/>
          <w:szCs w:val="32"/>
          <w:lang w:val="en-US" w:eastAsia="zh-CN"/>
        </w:rPr>
        <w:t>基期年度研发费用总额）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÷</w:t>
      </w:r>
      <w:r>
        <w:rPr>
          <w:rFonts w:hint="default"/>
          <w:sz w:val="32"/>
          <w:szCs w:val="32"/>
          <w:lang w:val="en-US" w:eastAsia="zh-CN"/>
        </w:rPr>
        <w:t>基期年度研发费用总额</w:t>
      </w:r>
      <w:r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100%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÷</w:t>
      </w:r>
      <w:r>
        <w:rPr>
          <w:rFonts w:hint="default"/>
          <w:sz w:val="32"/>
          <w:szCs w:val="32"/>
          <w:lang w:val="en-US" w:eastAsia="zh-CN"/>
        </w:rPr>
        <w:t>2；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设置权数：以连续二个年度研发费用增长率的平均值为计算依据，每增长一个百分比率计1分，以此类推，满分为10分，负数不计分。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十四、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利润增长率：</w:t>
      </w:r>
      <w:r>
        <w:rPr>
          <w:rFonts w:hint="default"/>
          <w:sz w:val="32"/>
          <w:szCs w:val="32"/>
          <w:lang w:val="en-US" w:eastAsia="zh-CN"/>
        </w:rPr>
        <w:t>（单位：万元，保留二位小数，满分为20分）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基期利润为正数：利润增长率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=</w:t>
      </w:r>
      <w:r>
        <w:rPr>
          <w:rFonts w:hint="default"/>
          <w:sz w:val="32"/>
          <w:szCs w:val="32"/>
          <w:lang w:val="en-US" w:eastAsia="zh-CN"/>
        </w:rPr>
        <w:t>（报告期年度利润总额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-</w:t>
      </w:r>
      <w:r>
        <w:rPr>
          <w:rFonts w:hint="default"/>
          <w:sz w:val="32"/>
          <w:szCs w:val="32"/>
          <w:lang w:val="en-US" w:eastAsia="zh-CN"/>
        </w:rPr>
        <w:t>基期年度利润总额）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÷</w:t>
      </w:r>
      <w:r>
        <w:rPr>
          <w:rFonts w:hint="default"/>
          <w:sz w:val="32"/>
          <w:szCs w:val="32"/>
          <w:lang w:val="en-US" w:eastAsia="zh-CN"/>
        </w:rPr>
        <w:t>基期年度利润总额</w:t>
      </w:r>
      <w:r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100%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÷</w:t>
      </w:r>
      <w:r>
        <w:rPr>
          <w:rFonts w:hint="default"/>
          <w:sz w:val="32"/>
          <w:szCs w:val="32"/>
          <w:lang w:val="en-US" w:eastAsia="zh-CN"/>
        </w:rPr>
        <w:t>2；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基期利润为负数：利润增长率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=</w:t>
      </w:r>
      <w:r>
        <w:rPr>
          <w:rFonts w:hint="default"/>
          <w:sz w:val="32"/>
          <w:szCs w:val="32"/>
          <w:lang w:val="en-US" w:eastAsia="zh-CN"/>
        </w:rPr>
        <w:t>{1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-[</w:t>
      </w:r>
      <w:r>
        <w:rPr>
          <w:rFonts w:hint="default"/>
          <w:sz w:val="32"/>
          <w:szCs w:val="32"/>
          <w:lang w:val="en-US" w:eastAsia="zh-CN"/>
        </w:rPr>
        <w:t>（报告期年度利润总额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-</w:t>
      </w:r>
      <w:r>
        <w:rPr>
          <w:rFonts w:hint="default"/>
          <w:sz w:val="32"/>
          <w:szCs w:val="32"/>
          <w:lang w:val="en-US" w:eastAsia="zh-CN"/>
        </w:rPr>
        <w:t>基期年度利润总额）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÷</w:t>
      </w:r>
      <w:r>
        <w:rPr>
          <w:rFonts w:hint="default"/>
          <w:sz w:val="32"/>
          <w:szCs w:val="32"/>
          <w:lang w:val="en-US" w:eastAsia="zh-CN"/>
        </w:rPr>
        <w:t>基期年度利润总额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]</w:t>
      </w:r>
      <w:r>
        <w:rPr>
          <w:rFonts w:hint="default"/>
          <w:sz w:val="32"/>
          <w:szCs w:val="32"/>
          <w:lang w:val="en-US" w:eastAsia="zh-CN"/>
        </w:rPr>
        <w:t>}</w:t>
      </w:r>
      <w:r>
        <w:rPr>
          <w:rFonts w:hint="default" w:ascii="微软雅黑" w:hAnsi="微软雅黑" w:eastAsia="微软雅黑" w:cs="微软雅黑"/>
          <w:sz w:val="32"/>
          <w:szCs w:val="32"/>
          <w:lang w:val="en-US" w:eastAsia="zh-CN"/>
        </w:rPr>
        <w:t>×</w:t>
      </w:r>
      <w:r>
        <w:rPr>
          <w:rFonts w:hint="default"/>
          <w:sz w:val="32"/>
          <w:szCs w:val="32"/>
          <w:lang w:val="en-US" w:eastAsia="zh-CN"/>
        </w:rPr>
        <w:t>100%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÷</w:t>
      </w:r>
      <w:r>
        <w:rPr>
          <w:rFonts w:hint="default"/>
          <w:sz w:val="32"/>
          <w:szCs w:val="32"/>
          <w:lang w:val="en-US" w:eastAsia="zh-CN"/>
        </w:rPr>
        <w:t>2；</w:t>
      </w: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1587" w:gutter="0"/>
          <w:cols w:space="425" w:num="1"/>
          <w:docGrid w:type="lines" w:linePitch="312" w:charSpace="0"/>
        </w:sectPr>
      </w:pPr>
    </w:p>
    <w:p>
      <w:pPr>
        <w:pStyle w:val="9"/>
        <w:bidi w:val="0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t>设置权数：以连续二个年度利润增长率的平均值为计算依据，报告期亏损的不得分；每增长一个百分比率计1分，以此类推，满分为20分，负数不计分。</w:t>
      </w:r>
    </w:p>
    <w:p>
      <w:pPr>
        <w:pStyle w:val="9"/>
        <w:bidi w:val="0"/>
        <w:rPr>
          <w:rFonts w:hint="default"/>
          <w:sz w:val="28"/>
          <w:szCs w:val="28"/>
          <w:lang w:val="en-US" w:eastAsia="zh-CN"/>
        </w:rPr>
      </w:pPr>
    </w:p>
    <w:p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6" w:type="default"/>
      <w:pgSz w:w="11906" w:h="16838"/>
      <w:pgMar w:top="2098" w:right="1474" w:bottom="1984" w:left="1587" w:header="851" w:footer="158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B47542-4EFD-4B28-B553-866F31D939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A0DAC9E-3E0E-4BD7-AD2B-E9574E22997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68F2F08-6470-46E7-8FD5-7D92DA73A4F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30C93366-433C-40DE-B6D6-435B2ADE430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bidi w:val="0"/>
      <w:rPr>
        <w:rFonts w:hint="eastAsia" w:ascii="Times New Roman" w:hAnsi="Times New Roman" w:eastAsia="宋体" w:cs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  <w:bidi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kX1r85AgAAcQ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6/ejt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DkX1r8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bidi w:val="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宋体" w:cs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S3tjc0BAACnAwAADgAAAGRycy9lMm9Eb2MueG1srVNLbtswEN0X6B0I&#10;7mspR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BS3tj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Times New Roman" w:hAnsi="Times New Roman" w:eastAsia="宋体" w:cs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bidi w:val="0"/>
      <w:rPr>
        <w:rFonts w:hint="eastAsia" w:ascii="Times New Roman" w:hAnsi="Times New Roman" w:eastAsia="宋体" w:cs="Times New Roman"/>
      </w:rPr>
    </w:pPr>
    <w:r>
      <w:rPr>
        <w:rFonts w:ascii="Times New Roman" w:hAnsi="Times New Roman" w:eastAsia="宋体" w:cs="Times New Roma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Times New Roman" w:hAnsi="Times New Roman" w:eastAsia="宋体" w:cs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iMjU2Y2Y0MWUzZjg5MDA4NDgzMmM4ZTYzODA4MzkifQ=="/>
  </w:docVars>
  <w:rsids>
    <w:rsidRoot w:val="5A26379C"/>
    <w:rsid w:val="005565B2"/>
    <w:rsid w:val="01B446F6"/>
    <w:rsid w:val="02145195"/>
    <w:rsid w:val="028D7421"/>
    <w:rsid w:val="02AB78A7"/>
    <w:rsid w:val="02F05C02"/>
    <w:rsid w:val="03345473"/>
    <w:rsid w:val="047A39D5"/>
    <w:rsid w:val="048D2F85"/>
    <w:rsid w:val="049C7DEF"/>
    <w:rsid w:val="05C60471"/>
    <w:rsid w:val="05ED01D7"/>
    <w:rsid w:val="072D508B"/>
    <w:rsid w:val="081128A2"/>
    <w:rsid w:val="08597DA5"/>
    <w:rsid w:val="08B84ACC"/>
    <w:rsid w:val="09EE3789"/>
    <w:rsid w:val="0A4707FD"/>
    <w:rsid w:val="0A590531"/>
    <w:rsid w:val="0AE222D4"/>
    <w:rsid w:val="0B2D79F3"/>
    <w:rsid w:val="0B3A2110"/>
    <w:rsid w:val="0BE34556"/>
    <w:rsid w:val="0CD345CA"/>
    <w:rsid w:val="0D0429D6"/>
    <w:rsid w:val="0D2E7615"/>
    <w:rsid w:val="0D7511DD"/>
    <w:rsid w:val="0DF07BAE"/>
    <w:rsid w:val="0E0F340D"/>
    <w:rsid w:val="0ECC12D1"/>
    <w:rsid w:val="0F550644"/>
    <w:rsid w:val="0FF87EA4"/>
    <w:rsid w:val="1102547E"/>
    <w:rsid w:val="11074842"/>
    <w:rsid w:val="110A60E1"/>
    <w:rsid w:val="112C791B"/>
    <w:rsid w:val="1142587A"/>
    <w:rsid w:val="11AC53EA"/>
    <w:rsid w:val="11B5604C"/>
    <w:rsid w:val="11CC3396"/>
    <w:rsid w:val="1202325C"/>
    <w:rsid w:val="121F3E0E"/>
    <w:rsid w:val="13113756"/>
    <w:rsid w:val="1360023A"/>
    <w:rsid w:val="13C702B9"/>
    <w:rsid w:val="14904B4F"/>
    <w:rsid w:val="16840E59"/>
    <w:rsid w:val="16FE0496"/>
    <w:rsid w:val="184E0FA9"/>
    <w:rsid w:val="18814EDA"/>
    <w:rsid w:val="18E0295D"/>
    <w:rsid w:val="19A277FE"/>
    <w:rsid w:val="1A18186E"/>
    <w:rsid w:val="1A6802CD"/>
    <w:rsid w:val="1A75281D"/>
    <w:rsid w:val="1AD734D7"/>
    <w:rsid w:val="1B012302"/>
    <w:rsid w:val="1C0C5403"/>
    <w:rsid w:val="1CBD59E0"/>
    <w:rsid w:val="1D7E7C3A"/>
    <w:rsid w:val="1DB775F0"/>
    <w:rsid w:val="1EFC175F"/>
    <w:rsid w:val="1FE8583F"/>
    <w:rsid w:val="202D5948"/>
    <w:rsid w:val="2059673D"/>
    <w:rsid w:val="21194DC7"/>
    <w:rsid w:val="21BA6ADC"/>
    <w:rsid w:val="226A28D7"/>
    <w:rsid w:val="22A909BF"/>
    <w:rsid w:val="22C83D5D"/>
    <w:rsid w:val="22F95FB5"/>
    <w:rsid w:val="233F60BE"/>
    <w:rsid w:val="2353600E"/>
    <w:rsid w:val="23B82CE0"/>
    <w:rsid w:val="23D06D16"/>
    <w:rsid w:val="23ED3D6C"/>
    <w:rsid w:val="24771887"/>
    <w:rsid w:val="249F6C02"/>
    <w:rsid w:val="263A491A"/>
    <w:rsid w:val="26987C0B"/>
    <w:rsid w:val="26C30DB4"/>
    <w:rsid w:val="277F1E00"/>
    <w:rsid w:val="27E3389B"/>
    <w:rsid w:val="284E0B51"/>
    <w:rsid w:val="28F506B3"/>
    <w:rsid w:val="2A1B12BF"/>
    <w:rsid w:val="2A377AEF"/>
    <w:rsid w:val="2AA84549"/>
    <w:rsid w:val="2B050CFF"/>
    <w:rsid w:val="2B6F150A"/>
    <w:rsid w:val="2C0003B4"/>
    <w:rsid w:val="2CA174A1"/>
    <w:rsid w:val="2CDA6E57"/>
    <w:rsid w:val="2D287BC3"/>
    <w:rsid w:val="2D60735C"/>
    <w:rsid w:val="2D654973"/>
    <w:rsid w:val="2D7E5A35"/>
    <w:rsid w:val="2DB70680"/>
    <w:rsid w:val="2DBA4E25"/>
    <w:rsid w:val="2E786928"/>
    <w:rsid w:val="2E943BD6"/>
    <w:rsid w:val="2E9D013C"/>
    <w:rsid w:val="2EDF0755"/>
    <w:rsid w:val="3015041B"/>
    <w:rsid w:val="3058256D"/>
    <w:rsid w:val="30724C70"/>
    <w:rsid w:val="30DD2A72"/>
    <w:rsid w:val="31CB4544"/>
    <w:rsid w:val="31D431CD"/>
    <w:rsid w:val="327B2543"/>
    <w:rsid w:val="32D81E46"/>
    <w:rsid w:val="334E5EA9"/>
    <w:rsid w:val="339C4E66"/>
    <w:rsid w:val="33FB393B"/>
    <w:rsid w:val="34580D8D"/>
    <w:rsid w:val="34757B91"/>
    <w:rsid w:val="359207AA"/>
    <w:rsid w:val="367B5207"/>
    <w:rsid w:val="37335AE2"/>
    <w:rsid w:val="373C022C"/>
    <w:rsid w:val="375A6BCB"/>
    <w:rsid w:val="37737C8C"/>
    <w:rsid w:val="38591578"/>
    <w:rsid w:val="3C1B18D3"/>
    <w:rsid w:val="3C357C06"/>
    <w:rsid w:val="3C93090D"/>
    <w:rsid w:val="3CC73A90"/>
    <w:rsid w:val="3D0C4E0B"/>
    <w:rsid w:val="3D112421"/>
    <w:rsid w:val="3D1837B0"/>
    <w:rsid w:val="3E171CB9"/>
    <w:rsid w:val="3E247F32"/>
    <w:rsid w:val="3ED951C1"/>
    <w:rsid w:val="3F081602"/>
    <w:rsid w:val="3F3B4CB4"/>
    <w:rsid w:val="3F495732"/>
    <w:rsid w:val="3F6C393F"/>
    <w:rsid w:val="3FE43E1D"/>
    <w:rsid w:val="40CA4C19"/>
    <w:rsid w:val="40EA5463"/>
    <w:rsid w:val="415D5C35"/>
    <w:rsid w:val="415E19AD"/>
    <w:rsid w:val="41E81277"/>
    <w:rsid w:val="424B0183"/>
    <w:rsid w:val="424E1A22"/>
    <w:rsid w:val="42D00689"/>
    <w:rsid w:val="43036368"/>
    <w:rsid w:val="430A1DED"/>
    <w:rsid w:val="43362BE2"/>
    <w:rsid w:val="43A22025"/>
    <w:rsid w:val="43B43B06"/>
    <w:rsid w:val="44B30262"/>
    <w:rsid w:val="44BA514C"/>
    <w:rsid w:val="456357E4"/>
    <w:rsid w:val="45763769"/>
    <w:rsid w:val="459F0DB6"/>
    <w:rsid w:val="45E84038"/>
    <w:rsid w:val="465869CB"/>
    <w:rsid w:val="469D0882"/>
    <w:rsid w:val="46D83FB0"/>
    <w:rsid w:val="46FB29D1"/>
    <w:rsid w:val="4746716B"/>
    <w:rsid w:val="47CC58C3"/>
    <w:rsid w:val="487321E2"/>
    <w:rsid w:val="49D97E23"/>
    <w:rsid w:val="49EB5DA8"/>
    <w:rsid w:val="4AB32D6A"/>
    <w:rsid w:val="4B0B4954"/>
    <w:rsid w:val="4BBA0128"/>
    <w:rsid w:val="4BE156B5"/>
    <w:rsid w:val="4C612351"/>
    <w:rsid w:val="4C911917"/>
    <w:rsid w:val="4DD03C33"/>
    <w:rsid w:val="4DD70B1D"/>
    <w:rsid w:val="4DE1199C"/>
    <w:rsid w:val="4E112CE4"/>
    <w:rsid w:val="4E53406F"/>
    <w:rsid w:val="4E563BD2"/>
    <w:rsid w:val="4ED019C0"/>
    <w:rsid w:val="4EE01C53"/>
    <w:rsid w:val="4F111E0D"/>
    <w:rsid w:val="4F1D2EA8"/>
    <w:rsid w:val="4F4C1097"/>
    <w:rsid w:val="4F867008"/>
    <w:rsid w:val="4FC6709B"/>
    <w:rsid w:val="50A7629D"/>
    <w:rsid w:val="51E7154B"/>
    <w:rsid w:val="521340EE"/>
    <w:rsid w:val="52666914"/>
    <w:rsid w:val="530C1269"/>
    <w:rsid w:val="530D4FE1"/>
    <w:rsid w:val="5311687F"/>
    <w:rsid w:val="53BB4A3D"/>
    <w:rsid w:val="53E7248E"/>
    <w:rsid w:val="545A4256"/>
    <w:rsid w:val="5471010A"/>
    <w:rsid w:val="54AD6A7C"/>
    <w:rsid w:val="54F14BBA"/>
    <w:rsid w:val="54FE1085"/>
    <w:rsid w:val="55AE2AAB"/>
    <w:rsid w:val="5621502B"/>
    <w:rsid w:val="569C0B56"/>
    <w:rsid w:val="574216FD"/>
    <w:rsid w:val="574C45F6"/>
    <w:rsid w:val="575E5E0B"/>
    <w:rsid w:val="57BD0D84"/>
    <w:rsid w:val="580F7106"/>
    <w:rsid w:val="589C4E3D"/>
    <w:rsid w:val="58C606E3"/>
    <w:rsid w:val="58D00AF4"/>
    <w:rsid w:val="59277154"/>
    <w:rsid w:val="592E547F"/>
    <w:rsid w:val="597A1966"/>
    <w:rsid w:val="5A26379C"/>
    <w:rsid w:val="5A36306F"/>
    <w:rsid w:val="5B7F07AB"/>
    <w:rsid w:val="5BAD7361"/>
    <w:rsid w:val="5C1D6295"/>
    <w:rsid w:val="5C8400C2"/>
    <w:rsid w:val="5CAF2C65"/>
    <w:rsid w:val="5CEB6393"/>
    <w:rsid w:val="5CFF599B"/>
    <w:rsid w:val="5D26561D"/>
    <w:rsid w:val="5D445AA3"/>
    <w:rsid w:val="5D494E68"/>
    <w:rsid w:val="5DC34C1A"/>
    <w:rsid w:val="5E0C741B"/>
    <w:rsid w:val="5E1C02E0"/>
    <w:rsid w:val="5E2A6A47"/>
    <w:rsid w:val="5E337FF2"/>
    <w:rsid w:val="5E453881"/>
    <w:rsid w:val="5ECB647C"/>
    <w:rsid w:val="5EF534F9"/>
    <w:rsid w:val="5F445215"/>
    <w:rsid w:val="5FFB68ED"/>
    <w:rsid w:val="60150B9A"/>
    <w:rsid w:val="60B7166D"/>
    <w:rsid w:val="610B31B4"/>
    <w:rsid w:val="61575576"/>
    <w:rsid w:val="61D70C94"/>
    <w:rsid w:val="625D412A"/>
    <w:rsid w:val="62712E97"/>
    <w:rsid w:val="62E23D94"/>
    <w:rsid w:val="632B74E9"/>
    <w:rsid w:val="635F7193"/>
    <w:rsid w:val="63AB4186"/>
    <w:rsid w:val="63D74F7B"/>
    <w:rsid w:val="642F4DB7"/>
    <w:rsid w:val="64F102BF"/>
    <w:rsid w:val="655B7E2E"/>
    <w:rsid w:val="6637279C"/>
    <w:rsid w:val="66430633"/>
    <w:rsid w:val="66A575B3"/>
    <w:rsid w:val="66AB0941"/>
    <w:rsid w:val="6864524C"/>
    <w:rsid w:val="68D4247B"/>
    <w:rsid w:val="69643755"/>
    <w:rsid w:val="6A3A44B6"/>
    <w:rsid w:val="6A4B51AA"/>
    <w:rsid w:val="6A6E4160"/>
    <w:rsid w:val="6AD246EE"/>
    <w:rsid w:val="6C1F1AB4"/>
    <w:rsid w:val="6D701218"/>
    <w:rsid w:val="6D914DB3"/>
    <w:rsid w:val="6E274D51"/>
    <w:rsid w:val="6E573888"/>
    <w:rsid w:val="6EB34837"/>
    <w:rsid w:val="6EB365E5"/>
    <w:rsid w:val="6EBD1212"/>
    <w:rsid w:val="6EEE3AC1"/>
    <w:rsid w:val="6F046E40"/>
    <w:rsid w:val="6F143527"/>
    <w:rsid w:val="6F5778B8"/>
    <w:rsid w:val="6FF84BF7"/>
    <w:rsid w:val="70673B2B"/>
    <w:rsid w:val="70745E7F"/>
    <w:rsid w:val="70C44AD9"/>
    <w:rsid w:val="70E00302"/>
    <w:rsid w:val="7159142C"/>
    <w:rsid w:val="7169742F"/>
    <w:rsid w:val="722F68CA"/>
    <w:rsid w:val="730554EC"/>
    <w:rsid w:val="74017DF2"/>
    <w:rsid w:val="740B6EDC"/>
    <w:rsid w:val="74245368"/>
    <w:rsid w:val="744F4568"/>
    <w:rsid w:val="7574743D"/>
    <w:rsid w:val="764A78A0"/>
    <w:rsid w:val="76796366"/>
    <w:rsid w:val="779976A9"/>
    <w:rsid w:val="77B77146"/>
    <w:rsid w:val="797846B3"/>
    <w:rsid w:val="7A652E89"/>
    <w:rsid w:val="7A6F5AB6"/>
    <w:rsid w:val="7AC676A0"/>
    <w:rsid w:val="7B234AF2"/>
    <w:rsid w:val="7BA21EBB"/>
    <w:rsid w:val="7BA63759"/>
    <w:rsid w:val="7BE4685A"/>
    <w:rsid w:val="7C0C5586"/>
    <w:rsid w:val="7C5F1B5A"/>
    <w:rsid w:val="7C966A46"/>
    <w:rsid w:val="7CAC1243"/>
    <w:rsid w:val="7CD23C96"/>
    <w:rsid w:val="7CE502B1"/>
    <w:rsid w:val="7D2A690E"/>
    <w:rsid w:val="7D6C452F"/>
    <w:rsid w:val="7D902913"/>
    <w:rsid w:val="7D9677FD"/>
    <w:rsid w:val="7DAC0DCF"/>
    <w:rsid w:val="7DC73FEB"/>
    <w:rsid w:val="7DDA1DE0"/>
    <w:rsid w:val="7E301A00"/>
    <w:rsid w:val="7E68119A"/>
    <w:rsid w:val="7E694F12"/>
    <w:rsid w:val="7E7044F2"/>
    <w:rsid w:val="7EAF6DC9"/>
    <w:rsid w:val="7F290442"/>
    <w:rsid w:val="7FC1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70" w:lineRule="exact"/>
      <w:ind w:firstLine="88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Times New Roman" w:hAnsi="Times New Roman" w:eastAsia="宋体"/>
      <w:sz w:val="28"/>
      <w:szCs w:val="2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autoRedefine/>
    <w:qFormat/>
    <w:uiPriority w:val="0"/>
    <w:rPr>
      <w:rFonts w:eastAsia="宋体"/>
      <w:sz w:val="2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企联—题目"/>
    <w:basedOn w:val="1"/>
    <w:autoRedefine/>
    <w:qFormat/>
    <w:uiPriority w:val="0"/>
    <w:pPr>
      <w:spacing w:line="660" w:lineRule="exact"/>
      <w:ind w:firstLine="0" w:firstLineChars="0"/>
      <w:jc w:val="center"/>
    </w:pPr>
    <w:rPr>
      <w:rFonts w:hint="eastAsia" w:ascii="Times New Roman" w:hAnsi="Times New Roman" w:eastAsia="方正小标宋简体" w:cs="Times New Roman"/>
      <w:sz w:val="44"/>
      <w:szCs w:val="44"/>
    </w:rPr>
  </w:style>
  <w:style w:type="paragraph" w:customStyle="1" w:styleId="9">
    <w:name w:val="企联—正文"/>
    <w:basedOn w:val="1"/>
    <w:autoRedefine/>
    <w:qFormat/>
    <w:uiPriority w:val="0"/>
    <w:pPr>
      <w:spacing w:line="560" w:lineRule="exact"/>
      <w:ind w:firstLine="880" w:firstLineChars="200"/>
    </w:pPr>
    <w:rPr>
      <w:rFonts w:hint="eastAsia" w:ascii="Times New Roman" w:hAnsi="Times New Roman" w:cs="Times New Roman"/>
    </w:rPr>
  </w:style>
  <w:style w:type="paragraph" w:customStyle="1" w:styleId="10">
    <w:name w:val="企联—页脚"/>
    <w:basedOn w:val="1"/>
    <w:autoRedefine/>
    <w:qFormat/>
    <w:uiPriority w:val="0"/>
    <w:pPr>
      <w:spacing w:line="240" w:lineRule="auto"/>
      <w:ind w:right="320" w:rightChars="100" w:firstLine="320" w:firstLineChars="100"/>
    </w:pPr>
    <w:rPr>
      <w:rFonts w:hint="eastAsia" w:ascii="宋体" w:hAnsi="宋体" w:eastAsia="宋体" w:cs="宋体"/>
      <w:sz w:val="28"/>
      <w:szCs w:val="28"/>
    </w:rPr>
  </w:style>
  <w:style w:type="paragraph" w:customStyle="1" w:styleId="11">
    <w:name w:val="企联—标题一级"/>
    <w:basedOn w:val="1"/>
    <w:link w:val="14"/>
    <w:autoRedefine/>
    <w:qFormat/>
    <w:uiPriority w:val="0"/>
    <w:pPr>
      <w:spacing w:line="560" w:lineRule="exact"/>
      <w:ind w:firstLine="40"/>
    </w:pPr>
    <w:rPr>
      <w:rFonts w:hint="eastAsia" w:ascii="Times New Roman" w:hAnsi="Times New Roman" w:eastAsia="黑体" w:cs="Times New Roman"/>
    </w:rPr>
  </w:style>
  <w:style w:type="paragraph" w:customStyle="1" w:styleId="12">
    <w:name w:val="企联—标题二级"/>
    <w:basedOn w:val="9"/>
    <w:next w:val="9"/>
    <w:autoRedefine/>
    <w:qFormat/>
    <w:uiPriority w:val="0"/>
    <w:rPr>
      <w:rFonts w:eastAsia="楷体"/>
    </w:rPr>
  </w:style>
  <w:style w:type="paragraph" w:customStyle="1" w:styleId="13">
    <w:name w:val="企联—目录"/>
    <w:basedOn w:val="1"/>
    <w:autoRedefine/>
    <w:qFormat/>
    <w:uiPriority w:val="0"/>
    <w:pPr>
      <w:spacing w:line="240" w:lineRule="auto"/>
      <w:ind w:firstLine="0" w:firstLineChars="0"/>
    </w:pPr>
    <w:rPr>
      <w:rFonts w:eastAsia="宋体"/>
      <w:sz w:val="28"/>
      <w:szCs w:val="28"/>
    </w:rPr>
  </w:style>
  <w:style w:type="character" w:customStyle="1" w:styleId="14">
    <w:name w:val="企联—标题一级 Char"/>
    <w:link w:val="11"/>
    <w:autoRedefine/>
    <w:qFormat/>
    <w:uiPriority w:val="0"/>
    <w:rPr>
      <w:rFonts w:hint="eastAsia" w:ascii="Times New Roman" w:hAnsi="Times New Roman" w:eastAsia="黑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6165</Words>
  <Characters>6951</Characters>
  <Lines>0</Lines>
  <Paragraphs>0</Paragraphs>
  <TotalTime>2</TotalTime>
  <ScaleCrop>false</ScaleCrop>
  <LinksUpToDate>false</LinksUpToDate>
  <CharactersWithSpaces>7086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2024-03-22T00:45:00Z</dcterms:created>
  <dc:creator>admin</dc:creator>
  <cp:lastModifiedBy>admin</cp:lastModifiedBy>
  <cp:lastPrinted>2024-03-25T07:55:00Z</cp:lastPrinted>
  <dcterms:modified xsi:type="dcterms:W3CDTF">2024-03-26T00:57:30Z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CF15E1DFE479480E9AA0578F8FCF5FAC_11</vt:lpwstr>
  </property>
</Properties>
</file>